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B365" w14:textId="58233729" w:rsidR="008F0A10" w:rsidRDefault="003D6F87">
      <w:r>
        <w:t xml:space="preserve">Town of Brighton </w:t>
      </w:r>
      <w:r w:rsidR="00393006">
        <w:t>Lease to Locals Program</w:t>
      </w:r>
      <w:r w:rsidR="004D4B36">
        <w:t xml:space="preserve"> </w:t>
      </w:r>
    </w:p>
    <w:p w14:paraId="2C773B7F" w14:textId="2DD4C2A4" w:rsidR="004D4B36" w:rsidRDefault="003D6F87">
      <w:r>
        <w:t>September 2023</w:t>
      </w:r>
    </w:p>
    <w:p w14:paraId="6D1233EF" w14:textId="77777777" w:rsidR="008F0A10" w:rsidRDefault="008F0A10"/>
    <w:p w14:paraId="6E5F369B" w14:textId="40D7811E" w:rsidR="008F0A10" w:rsidRDefault="00393006">
      <w:r>
        <w:t>I.</w:t>
      </w:r>
      <w:r w:rsidR="00BD291F">
        <w:t xml:space="preserve">  </w:t>
      </w:r>
      <w:r>
        <w:t>Purpose of program:</w:t>
      </w:r>
    </w:p>
    <w:p w14:paraId="55BECFF8" w14:textId="31BD9B11" w:rsidR="008F0A10" w:rsidRDefault="00393006">
      <w:pPr>
        <w:numPr>
          <w:ilvl w:val="0"/>
          <w:numId w:val="2"/>
        </w:numPr>
      </w:pPr>
      <w:r>
        <w:t>Provide a financial incentive via a grant program</w:t>
      </w:r>
      <w:r w:rsidR="001D5798">
        <w:t xml:space="preserve"> for existing </w:t>
      </w:r>
      <w:proofErr w:type="gramStart"/>
      <w:r w:rsidR="001D5798">
        <w:t>Short Term</w:t>
      </w:r>
      <w:proofErr w:type="gramEnd"/>
      <w:r w:rsidR="001D5798">
        <w:t xml:space="preserve"> Rentals</w:t>
      </w:r>
      <w:r>
        <w:t xml:space="preserve"> to provide long term housing for employees who work in the </w:t>
      </w:r>
      <w:r w:rsidR="00065012">
        <w:t>Town of Brighton</w:t>
      </w:r>
      <w:r>
        <w:t xml:space="preserve"> </w:t>
      </w:r>
    </w:p>
    <w:p w14:paraId="143D3A15" w14:textId="77777777" w:rsidR="008F0A10" w:rsidRDefault="008F0A10"/>
    <w:p w14:paraId="0BE9FB11" w14:textId="77777777" w:rsidR="008F0A10" w:rsidRDefault="00393006">
      <w:r>
        <w:t>II. Who is eligible?</w:t>
      </w:r>
    </w:p>
    <w:p w14:paraId="1B2BA652" w14:textId="6847548B" w:rsidR="008F0A10" w:rsidRDefault="00393006" w:rsidP="00DB4B22">
      <w:pPr>
        <w:numPr>
          <w:ilvl w:val="0"/>
          <w:numId w:val="1"/>
        </w:numPr>
      </w:pPr>
      <w:r>
        <w:t xml:space="preserve">Any property currently operating </w:t>
      </w:r>
      <w:r w:rsidR="00065012">
        <w:t xml:space="preserve">with a </w:t>
      </w:r>
      <w:proofErr w:type="gramStart"/>
      <w:r w:rsidR="00065012">
        <w:t xml:space="preserve">valid </w:t>
      </w:r>
      <w:r>
        <w:t xml:space="preserve"> license</w:t>
      </w:r>
      <w:proofErr w:type="gramEnd"/>
      <w:r w:rsidR="00065012">
        <w:t xml:space="preserve"> for a</w:t>
      </w:r>
      <w:r>
        <w:t xml:space="preserve"> short term rental that converts</w:t>
      </w:r>
      <w:r w:rsidR="00065012">
        <w:t xml:space="preserve"> the property</w:t>
      </w:r>
      <w:r>
        <w:t xml:space="preserve"> to </w:t>
      </w:r>
      <w:r w:rsidR="00065012">
        <w:t xml:space="preserve">use as </w:t>
      </w:r>
      <w:r>
        <w:t xml:space="preserve">a long term rental. </w:t>
      </w:r>
      <w:r w:rsidR="00AB1D5A">
        <w:t xml:space="preserve">Qualified tenants </w:t>
      </w:r>
      <w:r w:rsidR="00065012">
        <w:t xml:space="preserve">of the </w:t>
      </w:r>
      <w:proofErr w:type="gramStart"/>
      <w:r w:rsidR="00065012">
        <w:t>long term</w:t>
      </w:r>
      <w:proofErr w:type="gramEnd"/>
      <w:r w:rsidR="00065012">
        <w:t xml:space="preserve"> rental </w:t>
      </w:r>
      <w:r>
        <w:t xml:space="preserve">must be </w:t>
      </w:r>
      <w:proofErr w:type="gramStart"/>
      <w:r>
        <w:t>an employee</w:t>
      </w:r>
      <w:proofErr w:type="gramEnd"/>
      <w:r>
        <w:t xml:space="preserve"> of a business located in the Town of Brighton. (proof of employment will be required)</w:t>
      </w:r>
      <w:r w:rsidR="00B65D75">
        <w:t xml:space="preserve">.  </w:t>
      </w:r>
    </w:p>
    <w:p w14:paraId="74984E55" w14:textId="77777777" w:rsidR="008F0A10" w:rsidRDefault="00393006">
      <w:r>
        <w:t>III. Program details</w:t>
      </w:r>
    </w:p>
    <w:p w14:paraId="12021C13" w14:textId="409C10ED" w:rsidR="008F0A10" w:rsidRDefault="00393006">
      <w:pPr>
        <w:numPr>
          <w:ilvl w:val="0"/>
          <w:numId w:val="4"/>
        </w:numPr>
      </w:pPr>
      <w:r>
        <w:t>Participation in the grant program require</w:t>
      </w:r>
      <w:r w:rsidR="00065012">
        <w:t>s</w:t>
      </w:r>
      <w:r>
        <w:t xml:space="preserve"> the property owner to relinquish their STR license with the possibility to reapply for the STR license </w:t>
      </w:r>
      <w:proofErr w:type="gramStart"/>
      <w:r>
        <w:t>at a later date</w:t>
      </w:r>
      <w:proofErr w:type="gramEnd"/>
      <w:r>
        <w:t xml:space="preserve"> if licenses are available.</w:t>
      </w:r>
    </w:p>
    <w:p w14:paraId="583B8C1C" w14:textId="77777777" w:rsidR="008F0A10" w:rsidRDefault="00393006">
      <w:pPr>
        <w:numPr>
          <w:ilvl w:val="0"/>
          <w:numId w:val="4"/>
        </w:numPr>
      </w:pPr>
      <w:r>
        <w:t xml:space="preserve">The more employees housed in the rental, the bigger the incentive. </w:t>
      </w:r>
    </w:p>
    <w:p w14:paraId="7F7B0561" w14:textId="2E3C97F3" w:rsidR="008F0A10" w:rsidRDefault="009837F6">
      <w:pPr>
        <w:numPr>
          <w:ilvl w:val="1"/>
          <w:numId w:val="4"/>
        </w:numPr>
      </w:pPr>
      <w:r>
        <w:t>All adult renters must be listed on the lease</w:t>
      </w:r>
      <w:r w:rsidR="00623F19">
        <w:t xml:space="preserve"> whether they qualify as </w:t>
      </w:r>
      <w:r w:rsidR="00D564D5">
        <w:t>an employee or not</w:t>
      </w:r>
      <w:r w:rsidR="00393006">
        <w:t xml:space="preserve">. </w:t>
      </w:r>
    </w:p>
    <w:p w14:paraId="2D8A5A11" w14:textId="761C53C6" w:rsidR="008F0A10" w:rsidRDefault="00393006">
      <w:pPr>
        <w:numPr>
          <w:ilvl w:val="1"/>
          <w:numId w:val="4"/>
        </w:numPr>
      </w:pPr>
      <w:r>
        <w:t xml:space="preserve">The number of renters must not exceed </w:t>
      </w:r>
      <w:proofErr w:type="gramStart"/>
      <w:r>
        <w:t>fire</w:t>
      </w:r>
      <w:proofErr w:type="gramEnd"/>
      <w:r>
        <w:t xml:space="preserve"> department, </w:t>
      </w:r>
      <w:proofErr w:type="gramStart"/>
      <w:r>
        <w:t>town</w:t>
      </w:r>
      <w:proofErr w:type="gramEnd"/>
      <w:r>
        <w:t xml:space="preserve"> and county codes. </w:t>
      </w:r>
    </w:p>
    <w:p w14:paraId="2FAE1385" w14:textId="5B6ACA0F" w:rsidR="008F0A10" w:rsidRDefault="00393006">
      <w:pPr>
        <w:numPr>
          <w:ilvl w:val="0"/>
          <w:numId w:val="4"/>
        </w:numPr>
      </w:pPr>
      <w:r>
        <w:t>Leases must be</w:t>
      </w:r>
      <w:r w:rsidR="00BD291F">
        <w:t xml:space="preserve"> a minimum of</w:t>
      </w:r>
      <w:r>
        <w:t xml:space="preserve"> 6 or 12 months with grant amounts corresponding to the length and number of </w:t>
      </w:r>
      <w:r w:rsidR="00AB1D5A">
        <w:t>qualified tenants</w:t>
      </w:r>
      <w:r>
        <w:t xml:space="preserve"> involved.  </w:t>
      </w:r>
    </w:p>
    <w:p w14:paraId="442FAAE2" w14:textId="77777777" w:rsidR="008F0A10" w:rsidRDefault="008F0A10">
      <w:pPr>
        <w:ind w:firstLine="720"/>
      </w:pPr>
    </w:p>
    <w:p w14:paraId="73BB8A92" w14:textId="77777777" w:rsidR="008F0A10" w:rsidRDefault="00393006">
      <w:r>
        <w:t>Grant amounts:</w:t>
      </w:r>
    </w:p>
    <w:tbl>
      <w:tblPr>
        <w:tblStyle w:val="a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395"/>
        <w:gridCol w:w="2220"/>
        <w:gridCol w:w="2550"/>
        <w:gridCol w:w="2055"/>
      </w:tblGrid>
      <w:tr w:rsidR="008F0A10" w14:paraId="2687B5D9" w14:textId="77777777">
        <w:trPr>
          <w:trHeight w:val="1110"/>
          <w:tblHeader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00782" w14:textId="77777777" w:rsidR="008F0A10" w:rsidRDefault="003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Lease time frame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D0BD2" w14:textId="43851A7B" w:rsidR="008F0A10" w:rsidRDefault="0039300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employee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B7266" w14:textId="77777777" w:rsidR="008F0A10" w:rsidRDefault="00393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employees or</w:t>
            </w:r>
          </w:p>
          <w:p w14:paraId="18907751" w14:textId="2EE8B4C3" w:rsidR="008F0A10" w:rsidRDefault="0039300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employee with a child</w:t>
            </w:r>
            <w:r w:rsidR="001D5798">
              <w:rPr>
                <w:sz w:val="24"/>
                <w:szCs w:val="24"/>
              </w:rPr>
              <w:t xml:space="preserve"> or children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E241B" w14:textId="77777777" w:rsidR="008F0A10" w:rsidRDefault="00393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employees or</w:t>
            </w:r>
          </w:p>
          <w:p w14:paraId="5FFC1D29" w14:textId="32B51506" w:rsidR="008F0A10" w:rsidRDefault="0039300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employee</w:t>
            </w:r>
            <w:r w:rsidR="00BD291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with a child or children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7A9C0" w14:textId="77777777" w:rsidR="008F0A10" w:rsidRDefault="0039300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employees or</w:t>
            </w:r>
          </w:p>
          <w:p w14:paraId="69380E41" w14:textId="77777777" w:rsidR="008F0A10" w:rsidRDefault="00393006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employee</w:t>
            </w:r>
            <w:proofErr w:type="gramEnd"/>
            <w:r>
              <w:rPr>
                <w:sz w:val="24"/>
                <w:szCs w:val="24"/>
              </w:rPr>
              <w:t xml:space="preserve"> with a child or children</w:t>
            </w:r>
          </w:p>
        </w:tc>
      </w:tr>
      <w:tr w:rsidR="008F0A10" w14:paraId="125C29BF" w14:textId="77777777">
        <w:trPr>
          <w:trHeight w:val="345"/>
          <w:tblHeader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7FE54" w14:textId="77777777" w:rsidR="008F0A10" w:rsidRDefault="00393006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6 month</w:t>
            </w:r>
            <w:proofErr w:type="gramEnd"/>
            <w:r>
              <w:rPr>
                <w:sz w:val="24"/>
                <w:szCs w:val="24"/>
              </w:rPr>
              <w:t xml:space="preserve"> lease 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4B4B5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$2,000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55593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$4,000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0CFBA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$6,000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DFEFE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$8,000</w:t>
            </w:r>
          </w:p>
        </w:tc>
      </w:tr>
      <w:tr w:rsidR="008F0A10" w14:paraId="1B187DF4" w14:textId="77777777">
        <w:trPr>
          <w:trHeight w:val="345"/>
          <w:tblHeader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A4532" w14:textId="77777777" w:rsidR="008F0A10" w:rsidRDefault="00393006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12 month</w:t>
            </w:r>
            <w:proofErr w:type="gramEnd"/>
            <w:r>
              <w:rPr>
                <w:sz w:val="24"/>
                <w:szCs w:val="24"/>
              </w:rPr>
              <w:t xml:space="preserve"> lease 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D93F0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$4,500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132EF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$9,000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BF02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$13,500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B94CF" w14:textId="77777777" w:rsidR="008F0A10" w:rsidRDefault="00393006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$18,000</w:t>
            </w:r>
          </w:p>
        </w:tc>
      </w:tr>
    </w:tbl>
    <w:p w14:paraId="15A4A853" w14:textId="77777777" w:rsidR="008F0A10" w:rsidRDefault="008F0A10">
      <w:pPr>
        <w:ind w:firstLine="720"/>
      </w:pPr>
    </w:p>
    <w:p w14:paraId="68DA31D8" w14:textId="77777777" w:rsidR="008F0A10" w:rsidRDefault="008F0A10"/>
    <w:p w14:paraId="15B7266E" w14:textId="77777777" w:rsidR="008F0A10" w:rsidRDefault="00393006">
      <w:r>
        <w:t xml:space="preserve">IV. .Grant Administration: The Town will issue grant payments to property owners as follows:  </w:t>
      </w:r>
    </w:p>
    <w:p w14:paraId="2E4A0036" w14:textId="35BF238A" w:rsidR="008F0A10" w:rsidRDefault="00393006">
      <w:pPr>
        <w:numPr>
          <w:ilvl w:val="0"/>
          <w:numId w:val="3"/>
        </w:numPr>
      </w:pPr>
      <w:r>
        <w:t xml:space="preserve">50% of </w:t>
      </w:r>
      <w:proofErr w:type="gramStart"/>
      <w:r>
        <w:t>grant</w:t>
      </w:r>
      <w:proofErr w:type="gramEnd"/>
      <w:r>
        <w:t xml:space="preserve"> paid out within 30 days of lease commencement and 50% paid out within 30 days of successful end of lease</w:t>
      </w:r>
      <w:r w:rsidR="007D4D3D">
        <w:t xml:space="preserve"> term</w:t>
      </w:r>
      <w:r>
        <w:t xml:space="preserve">. </w:t>
      </w:r>
    </w:p>
    <w:p w14:paraId="67F6DE92" w14:textId="6EE20E45" w:rsidR="008F0A10" w:rsidRDefault="00393006">
      <w:pPr>
        <w:rPr>
          <w:color w:val="1155CC"/>
          <w:u w:val="single"/>
        </w:rPr>
      </w:pPr>
      <w:r>
        <w:t xml:space="preserve">V. </w:t>
      </w:r>
      <w:hyperlink r:id="rId5">
        <w:r>
          <w:rPr>
            <w:color w:val="1155CC"/>
            <w:u w:val="single"/>
          </w:rPr>
          <w:t>Grant Ap</w:t>
        </w:r>
        <w:r>
          <w:rPr>
            <w:color w:val="1155CC"/>
            <w:u w:val="single"/>
          </w:rPr>
          <w:t>p</w:t>
        </w:r>
        <w:r>
          <w:rPr>
            <w:color w:val="1155CC"/>
            <w:u w:val="single"/>
          </w:rPr>
          <w:t>lication</w:t>
        </w:r>
      </w:hyperlink>
    </w:p>
    <w:p w14:paraId="510B65B7" w14:textId="77777777" w:rsidR="001D5798" w:rsidRDefault="001D5798">
      <w:pPr>
        <w:rPr>
          <w:color w:val="1155CC"/>
          <w:u w:val="single"/>
        </w:rPr>
      </w:pPr>
    </w:p>
    <w:p w14:paraId="4D1A6783" w14:textId="3A3C753F" w:rsidR="001D5798" w:rsidRPr="001F1BB3" w:rsidRDefault="001D5798">
      <w:r w:rsidRPr="001F1BB3">
        <w:t>VI. Definitions</w:t>
      </w:r>
    </w:p>
    <w:p w14:paraId="27BEAEB3" w14:textId="77777777" w:rsidR="001D5798" w:rsidRDefault="001D5798" w:rsidP="001D5798">
      <w:pPr>
        <w:pStyle w:val="ListParagraph"/>
        <w:numPr>
          <w:ilvl w:val="0"/>
          <w:numId w:val="7"/>
        </w:numPr>
      </w:pPr>
      <w:r>
        <w:t xml:space="preserve">Qualifying Tenants: </w:t>
      </w:r>
    </w:p>
    <w:p w14:paraId="56FC7275" w14:textId="3E0EA233" w:rsidR="001D5798" w:rsidRDefault="001D5798" w:rsidP="004D4B36">
      <w:pPr>
        <w:pStyle w:val="ListParagraph"/>
        <w:numPr>
          <w:ilvl w:val="1"/>
          <w:numId w:val="7"/>
        </w:numPr>
      </w:pPr>
      <w:r>
        <w:t xml:space="preserve">A child or children (under 18 years old) in the household can be considered as </w:t>
      </w:r>
      <w:r w:rsidRPr="004D4B36">
        <w:rPr>
          <w:b/>
          <w:bCs/>
        </w:rPr>
        <w:t>one</w:t>
      </w:r>
      <w:r>
        <w:t xml:space="preserve"> additional qualifying tenant (even if there is more than one child).</w:t>
      </w:r>
    </w:p>
    <w:p w14:paraId="4EC9C9AC" w14:textId="25419742" w:rsidR="001D5798" w:rsidRDefault="001D5798" w:rsidP="001D5798">
      <w:pPr>
        <w:pStyle w:val="ListParagraph"/>
        <w:numPr>
          <w:ilvl w:val="1"/>
          <w:numId w:val="7"/>
        </w:numPr>
      </w:pPr>
      <w:r>
        <w:lastRenderedPageBreak/>
        <w:t xml:space="preserve">A qualifying tenant(s) </w:t>
      </w:r>
      <w:r w:rsidR="00CC5FEA">
        <w:t xml:space="preserve">employee </w:t>
      </w:r>
      <w:r>
        <w:t>may not be an immediate family member (son, daughter, brother, sister, parent, including step or in-law relations) of the owner.</w:t>
      </w:r>
    </w:p>
    <w:p w14:paraId="0282A729" w14:textId="38B8C13F" w:rsidR="00FE12B0" w:rsidRDefault="00567C79" w:rsidP="005A4142">
      <w:pPr>
        <w:pStyle w:val="ListParagraph"/>
        <w:numPr>
          <w:ilvl w:val="1"/>
          <w:numId w:val="7"/>
        </w:numPr>
      </w:pPr>
      <w:r>
        <w:t xml:space="preserve">Qualified </w:t>
      </w:r>
      <w:r w:rsidR="005A4142">
        <w:t xml:space="preserve">tenant </w:t>
      </w:r>
      <w:proofErr w:type="gramStart"/>
      <w:r w:rsidR="005A4142">
        <w:t>employee</w:t>
      </w:r>
      <w:proofErr w:type="gramEnd"/>
      <w:r w:rsidR="005A4142">
        <w:t xml:space="preserve"> </w:t>
      </w:r>
      <w:r w:rsidR="00FE12B0">
        <w:t>shall work at least</w:t>
      </w:r>
      <w:r w:rsidR="005A4142">
        <w:t xml:space="preserve"> </w:t>
      </w:r>
      <w:r w:rsidR="00FE12B0">
        <w:t xml:space="preserve">20 hours per week for an employer located within the Town of Brighton.  While </w:t>
      </w:r>
      <w:r w:rsidR="005A4142">
        <w:t xml:space="preserve">tenant </w:t>
      </w:r>
      <w:r w:rsidR="00FE12B0">
        <w:t>adults not working locally can live at properties participating in the program, only locally employed adults may count towards the property owner receiving the grant.</w:t>
      </w:r>
    </w:p>
    <w:p w14:paraId="3E2DE04E" w14:textId="5A36DE94" w:rsidR="00B65D75" w:rsidRDefault="00B65D75" w:rsidP="00B65D75">
      <w:pPr>
        <w:pStyle w:val="ListParagraph"/>
        <w:numPr>
          <w:ilvl w:val="0"/>
          <w:numId w:val="7"/>
        </w:numPr>
      </w:pPr>
      <w:r>
        <w:t>Employee</w:t>
      </w:r>
    </w:p>
    <w:p w14:paraId="22EDDDE4" w14:textId="688F3681" w:rsidR="00B65D75" w:rsidRDefault="00B65D75" w:rsidP="00B65D75">
      <w:pPr>
        <w:pStyle w:val="ListParagraph"/>
        <w:numPr>
          <w:ilvl w:val="1"/>
          <w:numId w:val="7"/>
        </w:numPr>
      </w:pPr>
      <w:r>
        <w:t>A</w:t>
      </w:r>
      <w:r w:rsidRPr="00B65D75">
        <w:t xml:space="preserve">n employee of a business located in the Town of Brighton. (proof of employment will be required).  </w:t>
      </w:r>
    </w:p>
    <w:p w14:paraId="5048E0AE" w14:textId="63741705" w:rsidR="00B65D75" w:rsidRDefault="00B65D75" w:rsidP="00B65D75">
      <w:pPr>
        <w:pStyle w:val="ListParagraph"/>
        <w:numPr>
          <w:ilvl w:val="1"/>
          <w:numId w:val="7"/>
        </w:numPr>
      </w:pPr>
      <w:r>
        <w:t>The following do not qualify as employees:</w:t>
      </w:r>
    </w:p>
    <w:p w14:paraId="04CB8CC2" w14:textId="7D87910C" w:rsidR="00B65D75" w:rsidRDefault="00B65D75" w:rsidP="00B65D75">
      <w:pPr>
        <w:pStyle w:val="ListParagraph"/>
        <w:numPr>
          <w:ilvl w:val="2"/>
          <w:numId w:val="7"/>
        </w:numPr>
      </w:pPr>
      <w:r>
        <w:t>Home businesses</w:t>
      </w:r>
    </w:p>
    <w:p w14:paraId="3A57F70E" w14:textId="5609FF65" w:rsidR="00B65D75" w:rsidRDefault="00AB1D5A" w:rsidP="00B65D75">
      <w:pPr>
        <w:pStyle w:val="ListParagraph"/>
        <w:numPr>
          <w:ilvl w:val="2"/>
          <w:numId w:val="7"/>
        </w:numPr>
      </w:pPr>
      <w:r>
        <w:t>Remote workers</w:t>
      </w:r>
    </w:p>
    <w:p w14:paraId="62EF9E70" w14:textId="73C12861" w:rsidR="00AB1D5A" w:rsidRDefault="00AB1D5A" w:rsidP="004D4B36">
      <w:pPr>
        <w:pStyle w:val="ListParagraph"/>
        <w:numPr>
          <w:ilvl w:val="2"/>
          <w:numId w:val="7"/>
        </w:numPr>
      </w:pPr>
      <w:r>
        <w:t xml:space="preserve">Workers who work less than 20 hours per week for a business in the Town of Brighton. </w:t>
      </w:r>
    </w:p>
    <w:p w14:paraId="28F6464B" w14:textId="77777777" w:rsidR="008F0A10" w:rsidRDefault="008F0A10"/>
    <w:p w14:paraId="0AF367CB" w14:textId="77777777" w:rsidR="008F0A10" w:rsidRDefault="008F0A10"/>
    <w:p w14:paraId="36E1813B" w14:textId="77777777" w:rsidR="008F0A10" w:rsidRDefault="008F0A10"/>
    <w:p w14:paraId="04278DE7" w14:textId="77777777" w:rsidR="008F0A10" w:rsidRDefault="008F0A10"/>
    <w:p w14:paraId="7C7B85BF" w14:textId="77777777" w:rsidR="008F0A10" w:rsidRDefault="008F0A10"/>
    <w:p w14:paraId="29C6DE62" w14:textId="77777777" w:rsidR="008F0A10" w:rsidRDefault="008F0A10"/>
    <w:p w14:paraId="4D4E21F4" w14:textId="77777777" w:rsidR="008F0A10" w:rsidRDefault="008F0A10">
      <w:pPr>
        <w:rPr>
          <w:highlight w:val="white"/>
        </w:rPr>
      </w:pPr>
    </w:p>
    <w:sectPr w:rsidR="008F0A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6CD"/>
    <w:multiLevelType w:val="multilevel"/>
    <w:tmpl w:val="B972D4D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9385C5D"/>
    <w:multiLevelType w:val="hybridMultilevel"/>
    <w:tmpl w:val="AD0C1B34"/>
    <w:lvl w:ilvl="0" w:tplc="00F04AD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3B5275"/>
    <w:multiLevelType w:val="multilevel"/>
    <w:tmpl w:val="2F24FE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05427A2"/>
    <w:multiLevelType w:val="hybridMultilevel"/>
    <w:tmpl w:val="F1D4E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54F7"/>
    <w:multiLevelType w:val="multilevel"/>
    <w:tmpl w:val="895AED5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C4D1523"/>
    <w:multiLevelType w:val="hybridMultilevel"/>
    <w:tmpl w:val="0AACB4E2"/>
    <w:lvl w:ilvl="0" w:tplc="9BFE0A14">
      <w:start w:val="1"/>
      <w:numFmt w:val="upperLetter"/>
      <w:lvlText w:val="%1&gt;"/>
      <w:lvlJc w:val="left"/>
      <w:pPr>
        <w:ind w:left="1080" w:hanging="360"/>
      </w:pPr>
      <w:rPr>
        <w:rFonts w:hint="default"/>
        <w:color w:val="1155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35931"/>
    <w:multiLevelType w:val="multilevel"/>
    <w:tmpl w:val="F48057C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 w16cid:durableId="1137604503">
    <w:abstractNumId w:val="2"/>
  </w:num>
  <w:num w:numId="2" w16cid:durableId="1804351248">
    <w:abstractNumId w:val="4"/>
  </w:num>
  <w:num w:numId="3" w16cid:durableId="433208880">
    <w:abstractNumId w:val="6"/>
  </w:num>
  <w:num w:numId="4" w16cid:durableId="1758818957">
    <w:abstractNumId w:val="0"/>
  </w:num>
  <w:num w:numId="5" w16cid:durableId="1354963904">
    <w:abstractNumId w:val="5"/>
  </w:num>
  <w:num w:numId="6" w16cid:durableId="905844720">
    <w:abstractNumId w:val="1"/>
  </w:num>
  <w:num w:numId="7" w16cid:durableId="58368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10"/>
    <w:rsid w:val="000617BE"/>
    <w:rsid w:val="00065012"/>
    <w:rsid w:val="00137DE3"/>
    <w:rsid w:val="00173DEF"/>
    <w:rsid w:val="001D5798"/>
    <w:rsid w:val="001F1BB3"/>
    <w:rsid w:val="00244FD3"/>
    <w:rsid w:val="002B199F"/>
    <w:rsid w:val="00393006"/>
    <w:rsid w:val="003D6F87"/>
    <w:rsid w:val="003E6F4E"/>
    <w:rsid w:val="004D4B36"/>
    <w:rsid w:val="00567C79"/>
    <w:rsid w:val="005A4142"/>
    <w:rsid w:val="00623F19"/>
    <w:rsid w:val="006F3481"/>
    <w:rsid w:val="00761986"/>
    <w:rsid w:val="007D4D3D"/>
    <w:rsid w:val="008F0A10"/>
    <w:rsid w:val="00936F1F"/>
    <w:rsid w:val="009837F6"/>
    <w:rsid w:val="00AB1D5A"/>
    <w:rsid w:val="00AF1B15"/>
    <w:rsid w:val="00B36A0B"/>
    <w:rsid w:val="00B65D75"/>
    <w:rsid w:val="00BD291F"/>
    <w:rsid w:val="00CC5FEA"/>
    <w:rsid w:val="00D564D5"/>
    <w:rsid w:val="00DB4B22"/>
    <w:rsid w:val="00EF0530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0C50"/>
  <w15:docId w15:val="{D20FB3A3-3DEB-40B5-8339-B953B77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06501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5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s%3A%2F%2Fwww.brighton.utah.gov%2Fsites%2Fdefault%2Ffiles%2Ffileattachments%2Fadministration%2Fpage%2F3531%2F9.17.23_lease_to_locals_grant_application.docx&amp;wdOrigin=BROWS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McLean</dc:creator>
  <cp:lastModifiedBy>Town Clerk</cp:lastModifiedBy>
  <cp:revision>5</cp:revision>
  <dcterms:created xsi:type="dcterms:W3CDTF">2023-09-18T15:07:00Z</dcterms:created>
  <dcterms:modified xsi:type="dcterms:W3CDTF">2023-09-18T17:38:00Z</dcterms:modified>
</cp:coreProperties>
</file>